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9059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t>29654</w:t>
            </w:r>
          </w:p>
        </w:tc>
      </w:tr>
      <w:tr w:rsidR="00B9059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t>GALERIJA UMJETNINA SPLIT</w:t>
            </w:r>
          </w:p>
        </w:tc>
      </w:tr>
      <w:tr w:rsidR="00B9059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90595" w:rsidRDefault="00AF4311">
            <w:pPr>
              <w:spacing w:after="0" w:line="240" w:lineRule="auto"/>
            </w:pPr>
            <w:r>
              <w:t>21</w:t>
            </w:r>
          </w:p>
        </w:tc>
      </w:tr>
    </w:tbl>
    <w:p w:rsidR="00B90595" w:rsidRDefault="00AF4311">
      <w:r>
        <w:br/>
      </w:r>
    </w:p>
    <w:p w:rsidR="00B90595" w:rsidRDefault="00AF431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90595" w:rsidRDefault="00AF431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90595" w:rsidRDefault="00AF431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614.820,34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702.268,20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617.753,66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704.319,49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B905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2.933,32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69,9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28.355,26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B905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28.355,26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39.755,50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140,2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B905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B905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31.288,58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41.806,79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133,6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Financijski izvještaji Galerije umjetnina sastavljeni su na temelju Zakona o proračunu (NN 144/21</w:t>
      </w:r>
      <w:proofErr w:type="gramStart"/>
      <w:r>
        <w:t>),  Pravilnika</w:t>
      </w:r>
      <w:proofErr w:type="gramEnd"/>
      <w:r>
        <w:t xml:space="preserve"> o proračunskom računovodstvu i računskom planu (NN 158/23 i 154/24)  te  čl.6. Pravilnika o financijskom izvještavanju u proračunskom računovodstvu (NN 37/2022, 52/25,156/25) te Okružnice o sastavljanju, konsolidaciji i predaji financijskih izvještaja proračuna, proračunskih i izvanproračunskih korisnika državnog proračuna te proračunskih i i izvanproračunskih korisnika proračuna jedinica i područne (regionalne) samoouprave za razdoblje od </w:t>
      </w:r>
      <w:proofErr w:type="gramStart"/>
      <w:r>
        <w:t>01.siječnja</w:t>
      </w:r>
      <w:proofErr w:type="gramEnd"/>
      <w:r>
        <w:t xml:space="preserve"> do 31.12.2025.g.</w:t>
      </w:r>
    </w:p>
    <w:p w:rsidR="00B90595" w:rsidRDefault="00AF4311">
      <w:r>
        <w:lastRenderedPageBreak/>
        <w:t>Iskazani manjak poslovanja u iznosu od 40.806,79 eura sastoji se od manjka prihoda (metodološki manjak) na izvoru Grad Split ( 1.1.1. Nadležni proračun) u iznosu od 19.593,</w:t>
      </w:r>
      <w:proofErr w:type="gramStart"/>
      <w:r>
        <w:t>20 ,</w:t>
      </w:r>
      <w:proofErr w:type="gramEnd"/>
      <w:r>
        <w:t xml:space="preserve"> viška prihoda za posebne namjene (4.3.1. Prihodi za posebne namjene-ulaznice) u iznosu od 12.124,58 eura </w:t>
      </w:r>
      <w:proofErr w:type="gramStart"/>
      <w:r>
        <w:t>i  manjka</w:t>
      </w:r>
      <w:proofErr w:type="gramEnd"/>
      <w:r>
        <w:t xml:space="preserve"> prihoda odnosno rashodi iz prenesenog rezultata iz prethodne godine na izvoru prihoda za posebne namjene( 9.4.1.) u iznosu od 34.457,17 eura.</w:t>
      </w:r>
    </w:p>
    <w:p w:rsidR="00B90595" w:rsidRDefault="00AF4311">
      <w:r>
        <w:t xml:space="preserve">Rashodi poslovanja za obračunski period 01-12-2025 u odnosu na prihode su veći za 40.806,79 eura a pokriveni su iz izvora prihoda za posebne namjene (4.3.1. ulaznice) i viška prihoda poslovanja iz prethodne godine (9.4.1 prihodi za posebne namjene –preneseni rezultat). Najveće povećanje rashoda odnosi se na plaće i rashode za zaposlene (podskupina </w:t>
      </w:r>
      <w:proofErr w:type="gramStart"/>
      <w:r>
        <w:t>31 )</w:t>
      </w:r>
      <w:proofErr w:type="gramEnd"/>
      <w:r>
        <w:t xml:space="preserve"> radi povećanja plaća i rashoda za zaposlene stečeno pravima iz novog Kolektivnog ugovora za zaposlenike Grada Splita u ustanovama u kulturi, te ulaganja u opremu i otkupe umjetničkih djela (podskupina 42). </w:t>
      </w:r>
    </w:p>
    <w:p w:rsidR="00B90595" w:rsidRDefault="00AF4311">
      <w:r>
        <w:br/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49.174,71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U prihodima iz državnog proračuna je tekuća pomoć Ministarstva kulture i </w:t>
      </w:r>
      <w:proofErr w:type="gramStart"/>
      <w:r>
        <w:t>medija  koju</w:t>
      </w:r>
      <w:proofErr w:type="gramEnd"/>
      <w:r>
        <w:t xml:space="preserve"> je Galerija umjetnina dobila za izložbene programe i opremu u 2025.g.  te odobrena sredstva Splitsko-dalmatinske županije za tisak kataloga. Vidljivo je da su sva sredstva u iznosu od 54.408,59 eura utrošena namjenski.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71.273,48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77.854,72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Povećanje prihoda na podskupini 652-prihod od prodaje ulaznica od 9,20% odnosi se na povećan broj posjetitelja u odnosu na prošlu godinu.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39.353,16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lastRenderedPageBreak/>
        <w:t>Povećanje prihoda na podskupini 661 za 20,30</w:t>
      </w:r>
      <w:proofErr w:type="gramStart"/>
      <w:r>
        <w:t>%  odnosi</w:t>
      </w:r>
      <w:proofErr w:type="gramEnd"/>
      <w:r>
        <w:t xml:space="preserve"> se na redovitiju naplatu najma u odnosu na isti period prošle godine.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459.389,48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529.903,65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Na povećanje prihoda u odnosu na isto razdoblje prošle godine utjecalo je povećanje prihoda na podskupini 671 – nadležni proračun. Prihodi iz gradskog kao nadležnog proračuna veći su za 15,30% u odnosu na isto razdoblje 2024.godine. Na ime plaća i ostalih rashoda za zaposlene (regres, prigodna nagrada </w:t>
      </w:r>
      <w:proofErr w:type="gramStart"/>
      <w:r>
        <w:t>i  jubilarne</w:t>
      </w:r>
      <w:proofErr w:type="gramEnd"/>
      <w:r>
        <w:t xml:space="preserve"> nagrade) uvećan je prihod koji je temeljen na novim kolektivnim ugovorom za zaposlene u ustanovama kulture Grada Splita.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304.087,49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391.520,60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Odstupanje- povećanje </w:t>
      </w:r>
      <w:proofErr w:type="gramStart"/>
      <w:r>
        <w:t>rashoda  od</w:t>
      </w:r>
      <w:proofErr w:type="gramEnd"/>
      <w:r>
        <w:t xml:space="preserve"> 33,60% na podskupinama 311 i 313,  odnosi se na povećanje plaća, te stečenim pravima prema novom Kolektivnom ugovoru za zaposlenike ustanova u kulturi Grada Splita 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17.363,30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162,1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Odstupanje-</w:t>
      </w:r>
      <w:proofErr w:type="gramStart"/>
      <w:r>
        <w:t>povećanje  od</w:t>
      </w:r>
      <w:proofErr w:type="gramEnd"/>
      <w:r>
        <w:t xml:space="preserve"> 62,10% na podskupini 321- naknade troškova zaposlenima odnosi se povećani broj službenih putovanja radi međunarodnih izložbi  i transporta umjetnina iz inozemstva u odnosu na isto razdoblje prethodne godine.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14.835,37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25.612,92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172,6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Odstupanje-povećanje od 72,60</w:t>
      </w:r>
      <w:proofErr w:type="gramStart"/>
      <w:r>
        <w:t>%  na</w:t>
      </w:r>
      <w:proofErr w:type="gramEnd"/>
      <w:r>
        <w:t xml:space="preserve"> podskupini 329 u odnosu na isto razdoblje prošle godine odnosi se na troškove na premije osiguranja umjetnina za izložbe a najvećim dijelom za izložbu Vlahe Bukovca.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84,7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Odstupanje-smanjenje od 15,30% na podskupini 343 u odnosu na isto razdoblje prošle godine rezultat je potpunog prelaska poslovanja Galerije umjetnina na račun gradske riznice od 01.10.2025.g. pa nema troškova bankovne naknade za vođenje vlastitog žiro-računa.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364,1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Odstupanje-povećanje od 264,10% na podskupini 422 – odnosi se na </w:t>
      </w:r>
      <w:proofErr w:type="gramStart"/>
      <w:r>
        <w:t>kupljena  računala</w:t>
      </w:r>
      <w:proofErr w:type="gramEnd"/>
      <w:r>
        <w:t xml:space="preserve"> i ostalu informatičku oprema za potrebe Galerije umjetnina u 2025.g.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3.660.269,73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3.642.002,10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Vrijednost nefinancijske imovine 01.01.2025.g. je iznosila 3.660.269,73 eura. Tijekom godine nabavljena je imovina u iznosu od 39.755,50 eura, a ispravak vrijednosti je iznosio </w:t>
      </w:r>
      <w:r>
        <w:lastRenderedPageBreak/>
        <w:t>58.023,10 eura pa se vrijednost imovine u odnosu na 01.01.2025.g. smanjila za 0,50 % te na dan 31.12.2025.g. iznosi 3.642.002,10 eura.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19.106,59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Potraživanja od kupca za najam prostora su otpisana temeljem odluke Upravnog vijeća o otpisu nenaplativih potraživanja kojaje donesena na 48. sjednici.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Potraživanje od kupca za najam poslovnog prostora su otpisana temeljem odluke Upravnog vijeća o otpisu nenaplativih potraživanja na 48. sjednici.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72.801,53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30.994,74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42,6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Rezultat uključuje preneseni višak iz 2024.godine u iznosu od 72.801,53 eura. U 2025. godini iskazan je manjak u iznosu od 41.806,79 eura. Za </w:t>
      </w:r>
      <w:proofErr w:type="gramStart"/>
      <w:r>
        <w:t>pokriće  dijela</w:t>
      </w:r>
      <w:proofErr w:type="gramEnd"/>
      <w:r>
        <w:t xml:space="preserve"> rashoda u tekućoj godini korišten je dio viška iz prethodne godine. Ukupan višak koji je raspoloživ u 2026.godini iznosi 30.994,74 eura.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izvanbilančni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lastRenderedPageBreak/>
        <w:t>Nema ugovornih odnosa koji uz ispunjenje određenih uvjeta, mogu postati obveza ili imovina te nema sporova u tijeku.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646.108,92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744.074,99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Prema funkcijkoj klasifikaciji razvrstali smo rashode poslovanja razreda 3 i rahode za nabavu nefinancijske imovine razreda 4 na šifru 082 jer Galerija umjetnina-Split pripada Službi kulture.</w:t>
      </w:r>
    </w:p>
    <w:p w:rsidR="00B90595" w:rsidRDefault="00AF4311">
      <w:r>
        <w:t>U 2025.godini oni iznose 744.074,99 eura što je za 15,20 % više nego u 2024.godini.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58.023,13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>Promjene u vrijednosti i obujmu se odnose na ispravak vrijednosti dugotrajne imovine u 2025.g.</w:t>
      </w:r>
    </w:p>
    <w:p w:rsidR="00B90595" w:rsidRDefault="00B90595"/>
    <w:p w:rsidR="00B90595" w:rsidRDefault="00AF431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90595" w:rsidRDefault="00AF431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9059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059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B905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595" w:rsidRDefault="00AF43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595" w:rsidRDefault="00B90595">
      <w:pPr>
        <w:spacing w:after="0"/>
      </w:pPr>
    </w:p>
    <w:p w:rsidR="00B90595" w:rsidRDefault="00AF4311">
      <w:r>
        <w:t xml:space="preserve">ŠiFra V006 – Stanje obveza na kraju izvještajnog razdoblja iznosi 71.895,21 eura </w:t>
      </w:r>
      <w:proofErr w:type="gramStart"/>
      <w:r>
        <w:t>a</w:t>
      </w:r>
      <w:proofErr w:type="gramEnd"/>
      <w:r>
        <w:t xml:space="preserve"> od toga</w:t>
      </w:r>
    </w:p>
    <w:p w:rsidR="00B90595" w:rsidRDefault="00AF4311">
      <w:proofErr w:type="gramStart"/>
      <w:r>
        <w:t>Šifra  V</w:t>
      </w:r>
      <w:proofErr w:type="gramEnd"/>
      <w:r>
        <w:t>007- Stanje dospjelih obveza na kraju izvještajnog razdoblja iznosi 1.376,14 eur</w:t>
      </w:r>
    </w:p>
    <w:p w:rsidR="00B90595" w:rsidRDefault="00AF4311">
      <w:r>
        <w:t>Dospjele obveze odnose se na obveze z zaposlene (Tommy d.o.o. Split) i imaju odstupanje od roka dospijeća do 60 dana. Ove obveze će biti podmirene tijekom siječnja 2026.godine </w:t>
      </w:r>
    </w:p>
    <w:p w:rsidR="00B90595" w:rsidRDefault="00AF4311">
      <w:r>
        <w:t>Šifra V009 – Stanje nedospjelih obveza na kraju izveštajnog razdoblja – </w:t>
      </w:r>
    </w:p>
    <w:p w:rsidR="00B90595" w:rsidRDefault="00AF4311">
      <w:r>
        <w:lastRenderedPageBreak/>
        <w:t>iznosi 70.519,07 eura i to na podskupinama: </w:t>
      </w:r>
    </w:p>
    <w:p w:rsidR="00B90595" w:rsidRDefault="00AF4311">
      <w:r>
        <w:t xml:space="preserve">231- obveze za zaposlene iznose 33.892,02 eura i one dospijevaju u siječnju 2026. Radi se o plaći za prosinac 2025. godine koja je trošak mjeseca </w:t>
      </w:r>
      <w:proofErr w:type="gramStart"/>
      <w:r>
        <w:t>prosinca  a</w:t>
      </w:r>
      <w:proofErr w:type="gramEnd"/>
      <w:r>
        <w:t xml:space="preserve"> isplata je kroz mjesec siječanj 2026.</w:t>
      </w:r>
    </w:p>
    <w:p w:rsidR="00B90595" w:rsidRDefault="00AF4311">
      <w:r>
        <w:t xml:space="preserve">232- obveze za materijalne rashode iznose 12.546,81 eura </w:t>
      </w:r>
      <w:proofErr w:type="gramStart"/>
      <w:r>
        <w:t>dospijevaju  u</w:t>
      </w:r>
      <w:proofErr w:type="gramEnd"/>
      <w:r>
        <w:t xml:space="preserve"> siječnju 2026.</w:t>
      </w:r>
    </w:p>
    <w:p w:rsidR="00B90595" w:rsidRDefault="00AF4311">
      <w:r>
        <w:t>242 –obveze za nabavu nefinancijske imovine iznose 24.000,00 eura koje dospijevaju u siječnju 2026.g.</w:t>
      </w:r>
    </w:p>
    <w:p w:rsidR="00B90595" w:rsidRDefault="00AF4311">
      <w:r>
        <w:t>273 –obveze za naplaćene tuđe prihode iznose 80,24 eura koje dospijevaju u siječnju 2026.g.</w:t>
      </w:r>
    </w:p>
    <w:p w:rsidR="00B90595" w:rsidRDefault="00B90595"/>
    <w:p w:rsidR="0086699B" w:rsidRDefault="0086699B"/>
    <w:p w:rsidR="0086699B" w:rsidRDefault="0086699B"/>
    <w:p w:rsidR="0086699B" w:rsidRDefault="0086699B"/>
    <w:p w:rsidR="0086699B" w:rsidRDefault="0086699B"/>
    <w:p w:rsidR="0086699B" w:rsidRDefault="0086699B"/>
    <w:p w:rsidR="0086699B" w:rsidRDefault="004246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699B">
        <w:t>Ravnateljica Galerije umjetnina</w:t>
      </w:r>
    </w:p>
    <w:p w:rsidR="0086699B" w:rsidRDefault="00424665" w:rsidP="00424665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86699B">
        <w:t>Jasminka Babić</w:t>
      </w:r>
    </w:p>
    <w:p w:rsidR="0086699B" w:rsidRDefault="0086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66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95"/>
    <w:rsid w:val="001439DB"/>
    <w:rsid w:val="00424665"/>
    <w:rsid w:val="0086699B"/>
    <w:rsid w:val="00AF4311"/>
    <w:rsid w:val="00B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F4B8"/>
  <w15:docId w15:val="{370F7959-50C1-43A4-B4D5-426A216A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Eterovic</dc:creator>
  <cp:lastModifiedBy>kdmin</cp:lastModifiedBy>
  <cp:revision>4</cp:revision>
  <dcterms:created xsi:type="dcterms:W3CDTF">2026-02-10T10:19:00Z</dcterms:created>
  <dcterms:modified xsi:type="dcterms:W3CDTF">2026-02-10T10:25:00Z</dcterms:modified>
</cp:coreProperties>
</file>